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59615E7C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E7519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D5078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18D29D6C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……………….</w:t>
      </w:r>
      <w:r w:rsidR="00067F5F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1C63BB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202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574C6A60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</w:t>
      </w:r>
      <w:r w:rsidR="00067F5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Mateusza Wojciechowskiego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przy kontrasygnacie  Skarbnika Jolanty Rzemyszkiewicz</w:t>
      </w:r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60373E65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3AC90952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, </w:t>
      </w:r>
      <w:r w:rsidR="0008149D" w:rsidRPr="0008149D">
        <w:rPr>
          <w:rFonts w:ascii="Times New Roman" w:hAnsi="Times New Roman"/>
          <w:b/>
          <w:color w:val="000000"/>
          <w:sz w:val="20"/>
        </w:rPr>
        <w:t>którą reprezentuje:</w:t>
      </w:r>
    </w:p>
    <w:p w14:paraId="1857F8E4" w14:textId="0893C5D8" w:rsidR="0008149D" w:rsidRPr="0008149D" w:rsidRDefault="00294B53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 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189E228" w14:textId="33C9A707" w:rsidR="00D5078B" w:rsidRPr="00263685" w:rsidRDefault="00311284" w:rsidP="00D5078B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</w:pPr>
      <w:r w:rsidRPr="00D5078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D5078B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D5078B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r w:rsidR="00D5078B" w:rsidRPr="00D5078B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>M</w:t>
      </w:r>
      <w:r w:rsidR="00D5078B" w:rsidRPr="00263685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>odernizacja drogi gminnej w miejscowości Kosewo</w:t>
      </w:r>
      <w:r w:rsidR="00D5078B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>.</w:t>
      </w:r>
      <w:r w:rsidR="00D5078B" w:rsidRPr="00263685">
        <w:rPr>
          <w:rFonts w:ascii="Times New Roman" w:eastAsia="Times New Roman" w:hAnsi="Times New Roman"/>
          <w:b/>
          <w:bCs/>
          <w:color w:val="000000"/>
          <w:kern w:val="0"/>
          <w:sz w:val="22"/>
          <w:szCs w:val="24"/>
          <w:lang w:eastAsia="pl-PL"/>
        </w:rPr>
        <w:t xml:space="preserve"> </w:t>
      </w:r>
    </w:p>
    <w:p w14:paraId="09EE3633" w14:textId="089B5667" w:rsidR="00294B53" w:rsidRPr="00D5078B" w:rsidRDefault="00294B53" w:rsidP="001D7DED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D5078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Przedmiotem zamówienia jest wykonanie </w:t>
      </w:r>
      <w:r w:rsidR="00D5078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921</w:t>
      </w:r>
      <w:r w:rsidR="00E75199" w:rsidRPr="00D5078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D5078B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m² nawierzchni jezdni wraz z podbudowami.</w:t>
      </w:r>
    </w:p>
    <w:p w14:paraId="18B18BB1" w14:textId="2BAB9676" w:rsidR="00D5078B" w:rsidRPr="00D5078B" w:rsidRDefault="00D5078B" w:rsidP="00D5078B">
      <w:pPr>
        <w:suppressAutoHyphens w:val="0"/>
        <w:autoSpaceDN/>
        <w:spacing w:before="0" w:after="0"/>
        <w:ind w:left="360" w:right="0"/>
        <w:textAlignment w:val="auto"/>
        <w:rPr>
          <w:rFonts w:ascii="Garamond" w:eastAsia="Lucida Sans Unicode" w:hAnsi="Garamond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</w:t>
      </w:r>
      <w:r w:rsidRPr="00D5078B">
        <w:rPr>
          <w:rFonts w:ascii="Garamond" w:eastAsia="Lucida Sans Unicode" w:hAnsi="Garamond"/>
          <w:color w:val="auto"/>
          <w:sz w:val="22"/>
          <w:szCs w:val="22"/>
          <w:lang w:eastAsia="pl-PL"/>
        </w:rPr>
        <w:t xml:space="preserve">Specyfikacja zamówienia: </w:t>
      </w:r>
    </w:p>
    <w:p w14:paraId="6E48BCAC" w14:textId="77777777" w:rsidR="00D5078B" w:rsidRPr="00D5078B" w:rsidRDefault="00D5078B" w:rsidP="00D5078B">
      <w:pPr>
        <w:keepNext/>
        <w:numPr>
          <w:ilvl w:val="0"/>
          <w:numId w:val="50"/>
        </w:numPr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</w:pPr>
      <w:bookmarkStart w:id="0" w:name="_Hlk132966502"/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mechaniczne profilowanie istniejącej nawierzchni z tłucznia              -  888 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777AF53D" w14:textId="77777777" w:rsidR="00D5078B" w:rsidRPr="00D5078B" w:rsidRDefault="00D5078B" w:rsidP="00D5078B">
      <w:pPr>
        <w:keepNext/>
        <w:numPr>
          <w:ilvl w:val="0"/>
          <w:numId w:val="50"/>
        </w:numPr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color w:val="auto"/>
          <w:kern w:val="0"/>
          <w:sz w:val="22"/>
          <w:szCs w:val="22"/>
          <w:lang w:eastAsia="en-US"/>
        </w:rPr>
      </w:pPr>
      <w:bookmarkStart w:id="1" w:name="_Hlk132967127"/>
      <w:bookmarkEnd w:id="0"/>
      <w:r w:rsidRPr="00D5078B">
        <w:rPr>
          <w:rFonts w:ascii="Garamond" w:eastAsia="Calibri" w:hAnsi="Garamond"/>
          <w:color w:val="auto"/>
          <w:kern w:val="0"/>
          <w:sz w:val="22"/>
          <w:szCs w:val="22"/>
          <w:lang w:eastAsia="en-US"/>
        </w:rPr>
        <w:t>rozbiórka istniejącej zabudowy i transport                                         -  21m</w:t>
      </w:r>
      <w:r w:rsidRPr="00D5078B">
        <w:rPr>
          <w:rFonts w:ascii="Garamond" w:eastAsia="Calibri" w:hAnsi="Garamond"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431F0E96" w14:textId="77777777" w:rsidR="00D5078B" w:rsidRPr="00D5078B" w:rsidRDefault="00D5078B" w:rsidP="00D5078B">
      <w:pPr>
        <w:keepNext/>
        <w:numPr>
          <w:ilvl w:val="0"/>
          <w:numId w:val="50"/>
        </w:numPr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</w:pP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wykonanie podbudowy zasadniczej z mieszanki niezwiązanej 0/31,5 mm grubości średnio 20 cm wraz z zagęszczeniem i profilowaniem                                                -921m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197F59DA" w14:textId="77777777" w:rsidR="00D5078B" w:rsidRPr="00D5078B" w:rsidRDefault="00D5078B" w:rsidP="00D5078B">
      <w:pPr>
        <w:keepNext/>
        <w:numPr>
          <w:ilvl w:val="0"/>
          <w:numId w:val="50"/>
        </w:numPr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</w:pP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wykonanie podbudowy zasadniczej z mieszanki niezwiązanej 0/31,5 mm grubości średnio 5 cm wraz z zagęszczeniem i profilowaniem                                                -921m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45A6AD01" w14:textId="77777777" w:rsidR="00D5078B" w:rsidRPr="00D5078B" w:rsidRDefault="00D5078B" w:rsidP="00D5078B">
      <w:pPr>
        <w:keepNext/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color w:val="auto"/>
          <w:kern w:val="0"/>
          <w:sz w:val="22"/>
          <w:szCs w:val="22"/>
          <w:lang w:eastAsia="en-US"/>
        </w:rPr>
      </w:pPr>
      <w:r w:rsidRPr="00D5078B">
        <w:rPr>
          <w:rFonts w:ascii="Garamond" w:eastAsia="Calibri" w:hAnsi="Garamond"/>
          <w:color w:val="auto"/>
          <w:kern w:val="0"/>
          <w:sz w:val="22"/>
          <w:szCs w:val="22"/>
          <w:lang w:eastAsia="en-US"/>
        </w:rPr>
        <w:t xml:space="preserve">oczyszczenie warstw konstrukcyjnych bitumicznych                           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-921m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2647CAAB" w14:textId="77777777" w:rsidR="00D5078B" w:rsidRPr="00D5078B" w:rsidRDefault="00D5078B" w:rsidP="00D5078B">
      <w:pPr>
        <w:keepNext/>
        <w:numPr>
          <w:ilvl w:val="0"/>
          <w:numId w:val="50"/>
        </w:numPr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Garamond" w:eastAsia="Calibri" w:hAnsi="Garamond"/>
          <w:i/>
          <w:color w:val="auto"/>
          <w:kern w:val="0"/>
          <w:sz w:val="22"/>
          <w:szCs w:val="22"/>
          <w:lang w:eastAsia="en-US"/>
        </w:rPr>
      </w:pP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skropienie warstw konstrukcyjnych bitumicznych</w:t>
      </w:r>
      <w:r w:rsidRPr="00D5078B">
        <w:rPr>
          <w:rFonts w:ascii="Garamond" w:eastAsia="Calibri" w:hAnsi="Garamond"/>
          <w:i/>
          <w:color w:val="auto"/>
          <w:kern w:val="0"/>
          <w:sz w:val="22"/>
          <w:szCs w:val="22"/>
          <w:lang w:eastAsia="en-US"/>
        </w:rPr>
        <w:t xml:space="preserve">                                 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-921m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bookmarkEnd w:id="1"/>
    <w:p w14:paraId="2B36CAA7" w14:textId="77777777" w:rsidR="00D5078B" w:rsidRPr="00D5078B" w:rsidRDefault="00D5078B" w:rsidP="00D5078B">
      <w:pPr>
        <w:keepNext/>
        <w:suppressAutoHyphens w:val="0"/>
        <w:autoSpaceDN/>
        <w:spacing w:before="0" w:after="120" w:line="360" w:lineRule="auto"/>
        <w:ind w:right="0"/>
        <w:contextualSpacing/>
        <w:jc w:val="both"/>
        <w:textAlignment w:val="auto"/>
        <w:rPr>
          <w:rFonts w:ascii="Arial" w:eastAsia="Calibri" w:hAnsi="Arial"/>
          <w:color w:val="auto"/>
          <w:kern w:val="0"/>
          <w:szCs w:val="22"/>
          <w:lang w:eastAsia="en-US"/>
        </w:rPr>
      </w:pPr>
      <w:r w:rsidRPr="00D5078B">
        <w:rPr>
          <w:rFonts w:ascii="Garamond" w:eastAsia="Calibri" w:hAnsi="Garamond"/>
          <w:color w:val="auto"/>
          <w:kern w:val="0"/>
          <w:sz w:val="22"/>
          <w:szCs w:val="22"/>
          <w:lang w:eastAsia="en-US"/>
        </w:rPr>
        <w:t xml:space="preserve">wykonanie warstwy ścieralnej z AC 11S średnia grubość 5cm              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lang w:eastAsia="en-US"/>
        </w:rPr>
        <w:t>-921m</w:t>
      </w:r>
      <w:r w:rsidRPr="00D5078B">
        <w:rPr>
          <w:rFonts w:ascii="Garamond" w:eastAsia="Calibri" w:hAnsi="Garamond"/>
          <w:iCs/>
          <w:color w:val="auto"/>
          <w:kern w:val="0"/>
          <w:sz w:val="22"/>
          <w:szCs w:val="22"/>
          <w:vertAlign w:val="superscript"/>
          <w:lang w:eastAsia="en-US"/>
        </w:rPr>
        <w:t>2</w:t>
      </w:r>
    </w:p>
    <w:p w14:paraId="33E4FA8A" w14:textId="708CBCC4" w:rsidR="00311284" w:rsidRPr="007D11EB" w:rsidRDefault="00311284" w:rsidP="00294B53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ECB315C" w14:textId="1F4E3C8A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396F9F51" w14:textId="77777777" w:rsidR="00D5078B" w:rsidRDefault="00D5078B" w:rsidP="00D5078B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8921B77" w14:textId="77777777" w:rsidR="00D5078B" w:rsidRDefault="00D5078B" w:rsidP="00D5078B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FD85597" w14:textId="77777777" w:rsidR="00D5078B" w:rsidRDefault="00D5078B" w:rsidP="00D5078B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04C302F" w14:textId="77777777" w:rsidR="00D5078B" w:rsidRDefault="00D5078B" w:rsidP="00D5078B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E54DCA" w14:textId="77777777" w:rsidR="00D5078B" w:rsidRPr="0008149D" w:rsidRDefault="00D5078B" w:rsidP="00D5078B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5E7C566" w14:textId="77777777" w:rsidR="00067F5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Realizowania przedmiotu  umowy  w sposób jak najmniej uciążliwy dla osób trzecich oraz zapewnienia</w:t>
      </w:r>
    </w:p>
    <w:p w14:paraId="060E7E2F" w14:textId="6D31C7C3" w:rsidR="00311284" w:rsidRPr="00856E0F" w:rsidRDefault="00311284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731A8CD8" w:rsidR="0008149D" w:rsidRPr="00067F5F" w:rsidRDefault="00311284" w:rsidP="00067F5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69718E8A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ateriały dostarczane przez Wykonawcę powinny odpowiadać wymogom wyrobów dopuszczonych do obrotu i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stosowania w budownictwie, określonym odpowiednimi przepisami, a także wymaganiami co do jakości, </w:t>
      </w:r>
    </w:p>
    <w:p w14:paraId="5FADFF4E" w14:textId="063FBEE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47317BA2" w:rsidR="009E5F05" w:rsidRPr="00067F5F" w:rsidRDefault="00311284" w:rsidP="00067F5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</w:t>
      </w:r>
      <w:r w:rsidR="001C63BB">
        <w:rPr>
          <w:rFonts w:eastAsia="Calibri"/>
          <w:sz w:val="20"/>
          <w:lang w:eastAsia="en-US"/>
        </w:rPr>
        <w:t> </w:t>
      </w:r>
      <w:r w:rsidRPr="00856E0F">
        <w:rPr>
          <w:rFonts w:eastAsia="Calibri"/>
          <w:sz w:val="20"/>
          <w:lang w:eastAsia="en-US"/>
        </w:rPr>
        <w:t>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54006A8E" w14:textId="77777777" w:rsidR="00294B53" w:rsidRDefault="00294B53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D5FE739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4DBA7EF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E65CC28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43F6CB3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2F5FFE4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34136122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5F6C382C" w14:textId="668235DC" w:rsidR="0008149D" w:rsidRDefault="00311284" w:rsidP="00067F5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26AD345" w14:textId="29A0E5A9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F926CE5" w14:textId="1C973EB1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5639D6FB" w14:textId="735F0FE9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0AA89ACC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Termin rozpoczęcia Robót ustala się nie później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przekazania terenu budowy.</w:t>
      </w:r>
    </w:p>
    <w:p w14:paraId="5F2D689B" w14:textId="02CD01B0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2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1</w:t>
      </w:r>
      <w:r w:rsidR="00E7519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0 lipca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2025 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AD45F4B" w14:textId="0DC68087" w:rsidR="0001470A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3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4" w:name="_Ref431835082"/>
      <w:bookmarkEnd w:id="3"/>
    </w:p>
    <w:p w14:paraId="5466C291" w14:textId="77777777" w:rsidR="00311284" w:rsidRPr="00067F5F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4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5" w:name="_Ref431835146"/>
    </w:p>
    <w:p w14:paraId="21BD18D2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5DA1799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17534FD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9C612A9" w14:textId="77777777" w:rsidR="00E75199" w:rsidRDefault="00E75199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3745879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D86AA8C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5FB0F4D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6C66B38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10F70C1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694AE79" w14:textId="77777777" w:rsidR="00067F5F" w:rsidRPr="008D4884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</w:p>
    <w:bookmarkEnd w:id="5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3C63A040" w:rsidR="0008149D" w:rsidRPr="00067F5F" w:rsidRDefault="00311284" w:rsidP="00067F5F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6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51DA858" w14:textId="3EC6C4E9" w:rsidR="009E5F05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1BD5A661" w14:textId="1DFE8944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0013861"/>
      <w:bookmarkStart w:id="8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……………………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7"/>
      <w:bookmarkEnd w:id="8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16250AB7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1D8218F7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7D51B8AB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2E1EC75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493CD3E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5D00F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E62D85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05F1153F" w14:textId="5AFBC8DF" w:rsidR="00D67957" w:rsidRPr="00067F5F" w:rsidRDefault="00D67957" w:rsidP="00067F5F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  <w:r w:rsidRPr="00067F5F">
        <w:rPr>
          <w:sz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DCF20" w14:textId="6A7CE2E7" w:rsidR="00B668A5" w:rsidRPr="008D4884" w:rsidRDefault="00311284" w:rsidP="00E75199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67B92755" w14:textId="77777777" w:rsidR="00067F5F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</w:t>
      </w:r>
    </w:p>
    <w:p w14:paraId="7FBF298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6026C2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D146A9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2AB03F1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26E685A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2B5D644" w14:textId="05C30D6B" w:rsidR="00311284" w:rsidRPr="008D4884" w:rsidRDefault="00311284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1C2D96E4" w14:textId="088B3D30" w:rsidR="00311284" w:rsidRPr="00067F5F" w:rsidRDefault="00311284" w:rsidP="00067F5F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067F5F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067F5F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9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686015B5" w14:textId="0C81A740" w:rsidR="008D2A73" w:rsidRPr="00067F5F" w:rsidRDefault="008D2A73" w:rsidP="00067F5F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</w:t>
      </w:r>
      <w:r w:rsidR="00067F5F">
        <w:rPr>
          <w:rFonts w:ascii="Times New Roman" w:hAnsi="Times New Roman"/>
          <w:color w:val="000000" w:themeColor="text1"/>
          <w:sz w:val="20"/>
          <w:shd w:val="clear" w:color="auto" w:fill="FFFFFF"/>
        </w:rPr>
        <w:t>.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4CA355E5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</w:t>
      </w:r>
      <w:r w:rsidR="001C63BB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 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10" w:name="_Hlk49249464"/>
      <w:bookmarkStart w:id="11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7E46AF2E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10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</w:t>
      </w:r>
      <w:r w:rsidR="001C63BB">
        <w:rPr>
          <w:rFonts w:ascii="Times New Roman" w:hAnsi="Times New Roman"/>
          <w:sz w:val="20"/>
          <w:szCs w:val="20"/>
        </w:rPr>
        <w:t> 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1"/>
    </w:p>
    <w:p w14:paraId="651B0951" w14:textId="77777777" w:rsidR="00067F5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</w:t>
      </w:r>
    </w:p>
    <w:p w14:paraId="7D63792A" w14:textId="77777777" w:rsidR="00D5078B" w:rsidRDefault="00D5078B" w:rsidP="00D5078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E7F639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B3512BF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782373B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81A2D80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7FACAB1" w14:textId="498D9857" w:rsidR="00186CFB" w:rsidRPr="00856E0F" w:rsidRDefault="00311284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513FDFED" w14:textId="549014F6" w:rsidR="0008149D" w:rsidRPr="00067F5F" w:rsidRDefault="00311284" w:rsidP="00067F5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poszczególne produkty dostarczone w ramach realizacji Przedmiotu Umowy.</w:t>
      </w: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2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32EA6C1B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formie pisemnej w terminie 30 dni od ich ujawnienia. Wady ujawnione w trakcie procedury odbioru, jeżeli zgodnie z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294B53">
        <w:rPr>
          <w:rFonts w:ascii="Times New Roman" w:hAnsi="Times New Roman"/>
          <w:b/>
          <w:color w:val="000000"/>
          <w:sz w:val="20"/>
        </w:rPr>
        <w:t>……………..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…………..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2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:………………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3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78F3DDB6" w14:textId="77777777" w:rsidR="00D5078B" w:rsidRDefault="00D5078B" w:rsidP="00D5078B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713964B" w14:textId="77777777" w:rsidR="00D5078B" w:rsidRDefault="00D5078B" w:rsidP="00D5078B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7E2B5ED" w14:textId="77777777" w:rsidR="00D5078B" w:rsidRDefault="00D5078B" w:rsidP="00D5078B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60F04E8" w14:textId="77777777" w:rsidR="00D5078B" w:rsidRPr="008D4884" w:rsidRDefault="00D5078B" w:rsidP="00D5078B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A3174D6" w14:textId="08BA7079" w:rsidR="00E75199" w:rsidRPr="00D5078B" w:rsidRDefault="00311284" w:rsidP="00D5078B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0822A80D" w14:textId="1BF9B033" w:rsidR="00A9065C" w:rsidRPr="00067F5F" w:rsidRDefault="00311284" w:rsidP="00067F5F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675D5A5C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E27AAD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0C6B" w14:textId="77777777" w:rsidR="008651EF" w:rsidRDefault="008651EF">
      <w:pPr>
        <w:spacing w:before="0" w:after="0"/>
      </w:pPr>
      <w:r>
        <w:separator/>
      </w:r>
    </w:p>
  </w:endnote>
  <w:endnote w:type="continuationSeparator" w:id="0">
    <w:p w14:paraId="019863EE" w14:textId="77777777" w:rsidR="008651EF" w:rsidRDefault="00865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6DBC" w14:textId="77777777" w:rsidR="008651EF" w:rsidRDefault="008651EF">
      <w:pPr>
        <w:spacing w:before="0" w:after="0"/>
      </w:pPr>
      <w:r>
        <w:separator/>
      </w:r>
    </w:p>
  </w:footnote>
  <w:footnote w:type="continuationSeparator" w:id="0">
    <w:p w14:paraId="6E3132DE" w14:textId="77777777" w:rsidR="008651EF" w:rsidRDefault="008651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F944B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944B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F944B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06AF1"/>
    <w:multiLevelType w:val="hybridMultilevel"/>
    <w:tmpl w:val="9158526A"/>
    <w:lvl w:ilvl="0" w:tplc="BEF4306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232A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D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0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1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6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2" w15:restartNumberingAfterBreak="0">
    <w:nsid w:val="3A424406"/>
    <w:multiLevelType w:val="hybridMultilevel"/>
    <w:tmpl w:val="C07249A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5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31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4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62432"/>
    <w:multiLevelType w:val="hybridMultilevel"/>
    <w:tmpl w:val="40B49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5"/>
  </w:num>
  <w:num w:numId="3" w16cid:durableId="1779714191">
    <w:abstractNumId w:val="26"/>
  </w:num>
  <w:num w:numId="4" w16cid:durableId="2058892083">
    <w:abstractNumId w:val="49"/>
  </w:num>
  <w:num w:numId="5" w16cid:durableId="936641927">
    <w:abstractNumId w:val="13"/>
  </w:num>
  <w:num w:numId="6" w16cid:durableId="1900482777">
    <w:abstractNumId w:val="20"/>
  </w:num>
  <w:num w:numId="7" w16cid:durableId="2020961749">
    <w:abstractNumId w:val="4"/>
  </w:num>
  <w:num w:numId="8" w16cid:durableId="1260606355">
    <w:abstractNumId w:val="23"/>
  </w:num>
  <w:num w:numId="9" w16cid:durableId="641427098">
    <w:abstractNumId w:val="10"/>
  </w:num>
  <w:num w:numId="10" w16cid:durableId="1396850985">
    <w:abstractNumId w:val="32"/>
  </w:num>
  <w:num w:numId="11" w16cid:durableId="285240492">
    <w:abstractNumId w:val="48"/>
  </w:num>
  <w:num w:numId="12" w16cid:durableId="915474118">
    <w:abstractNumId w:val="34"/>
  </w:num>
  <w:num w:numId="13" w16cid:durableId="1918897563">
    <w:abstractNumId w:val="47"/>
  </w:num>
  <w:num w:numId="14" w16cid:durableId="1807310141">
    <w:abstractNumId w:val="14"/>
  </w:num>
  <w:num w:numId="15" w16cid:durableId="514878432">
    <w:abstractNumId w:val="27"/>
  </w:num>
  <w:num w:numId="16" w16cid:durableId="1909068016">
    <w:abstractNumId w:val="44"/>
  </w:num>
  <w:num w:numId="17" w16cid:durableId="497304193">
    <w:abstractNumId w:val="31"/>
  </w:num>
  <w:num w:numId="18" w16cid:durableId="1893035500">
    <w:abstractNumId w:val="35"/>
  </w:num>
  <w:num w:numId="19" w16cid:durableId="764039842">
    <w:abstractNumId w:val="36"/>
  </w:num>
  <w:num w:numId="20" w16cid:durableId="1347709329">
    <w:abstractNumId w:val="28"/>
  </w:num>
  <w:num w:numId="21" w16cid:durableId="1872183544">
    <w:abstractNumId w:val="24"/>
  </w:num>
  <w:num w:numId="22" w16cid:durableId="1694763664">
    <w:abstractNumId w:val="30"/>
  </w:num>
  <w:num w:numId="23" w16cid:durableId="604315062">
    <w:abstractNumId w:val="2"/>
  </w:num>
  <w:num w:numId="24" w16cid:durableId="410539721">
    <w:abstractNumId w:val="12"/>
  </w:num>
  <w:num w:numId="25" w16cid:durableId="1275476894">
    <w:abstractNumId w:val="21"/>
  </w:num>
  <w:num w:numId="26" w16cid:durableId="1035930462">
    <w:abstractNumId w:val="0"/>
  </w:num>
  <w:num w:numId="27" w16cid:durableId="468861842">
    <w:abstractNumId w:val="33"/>
  </w:num>
  <w:num w:numId="28" w16cid:durableId="1257329207">
    <w:abstractNumId w:val="19"/>
  </w:num>
  <w:num w:numId="29" w16cid:durableId="1457261929">
    <w:abstractNumId w:val="1"/>
  </w:num>
  <w:num w:numId="30" w16cid:durableId="1686010777">
    <w:abstractNumId w:val="15"/>
  </w:num>
  <w:num w:numId="31" w16cid:durableId="1542934844">
    <w:abstractNumId w:val="37"/>
  </w:num>
  <w:num w:numId="32" w16cid:durableId="2002852793">
    <w:abstractNumId w:val="17"/>
  </w:num>
  <w:num w:numId="33" w16cid:durableId="276840">
    <w:abstractNumId w:val="41"/>
  </w:num>
  <w:num w:numId="34" w16cid:durableId="628517886">
    <w:abstractNumId w:val="40"/>
  </w:num>
  <w:num w:numId="35" w16cid:durableId="402070001">
    <w:abstractNumId w:val="5"/>
  </w:num>
  <w:num w:numId="36" w16cid:durableId="1472863673">
    <w:abstractNumId w:val="39"/>
  </w:num>
  <w:num w:numId="37" w16cid:durableId="425732120">
    <w:abstractNumId w:val="18"/>
  </w:num>
  <w:num w:numId="38" w16cid:durableId="614480405">
    <w:abstractNumId w:val="16"/>
  </w:num>
  <w:num w:numId="39" w16cid:durableId="222063857">
    <w:abstractNumId w:val="9"/>
  </w:num>
  <w:num w:numId="40" w16cid:durableId="731195292">
    <w:abstractNumId w:val="38"/>
  </w:num>
  <w:num w:numId="41" w16cid:durableId="1147890806">
    <w:abstractNumId w:val="7"/>
  </w:num>
  <w:num w:numId="42" w16cid:durableId="4881811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9"/>
  </w:num>
  <w:num w:numId="44" w16cid:durableId="3051680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1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2"/>
  </w:num>
  <w:num w:numId="49" w16cid:durableId="640043730">
    <w:abstractNumId w:val="45"/>
  </w:num>
  <w:num w:numId="50" w16cid:durableId="602568630">
    <w:abstractNumId w:val="8"/>
  </w:num>
  <w:num w:numId="51" w16cid:durableId="1947734725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67F5F"/>
    <w:rsid w:val="0007057D"/>
    <w:rsid w:val="00072AB6"/>
    <w:rsid w:val="0007559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C63BB"/>
    <w:rsid w:val="001E16E4"/>
    <w:rsid w:val="001F02F6"/>
    <w:rsid w:val="001F2F60"/>
    <w:rsid w:val="00203D7B"/>
    <w:rsid w:val="00205B10"/>
    <w:rsid w:val="00214B14"/>
    <w:rsid w:val="00216211"/>
    <w:rsid w:val="002202C8"/>
    <w:rsid w:val="00230F8C"/>
    <w:rsid w:val="00244F81"/>
    <w:rsid w:val="002548B3"/>
    <w:rsid w:val="00261857"/>
    <w:rsid w:val="0027549E"/>
    <w:rsid w:val="00294B53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00B72"/>
    <w:rsid w:val="00514678"/>
    <w:rsid w:val="005207C8"/>
    <w:rsid w:val="0052242C"/>
    <w:rsid w:val="0055455B"/>
    <w:rsid w:val="00564D17"/>
    <w:rsid w:val="00571E73"/>
    <w:rsid w:val="005820EA"/>
    <w:rsid w:val="00583D39"/>
    <w:rsid w:val="0059755B"/>
    <w:rsid w:val="005A646D"/>
    <w:rsid w:val="005B096F"/>
    <w:rsid w:val="0062261B"/>
    <w:rsid w:val="0062478E"/>
    <w:rsid w:val="0063187C"/>
    <w:rsid w:val="00660B93"/>
    <w:rsid w:val="006A06D5"/>
    <w:rsid w:val="006A79F0"/>
    <w:rsid w:val="006B24E1"/>
    <w:rsid w:val="006B53AB"/>
    <w:rsid w:val="006D0D10"/>
    <w:rsid w:val="006F136F"/>
    <w:rsid w:val="006F73B3"/>
    <w:rsid w:val="007102AC"/>
    <w:rsid w:val="007150F9"/>
    <w:rsid w:val="00724620"/>
    <w:rsid w:val="00746CDD"/>
    <w:rsid w:val="007A3990"/>
    <w:rsid w:val="007B1E85"/>
    <w:rsid w:val="007C6E12"/>
    <w:rsid w:val="007D11EB"/>
    <w:rsid w:val="00804B4C"/>
    <w:rsid w:val="008109F9"/>
    <w:rsid w:val="00817D20"/>
    <w:rsid w:val="00845CDE"/>
    <w:rsid w:val="00852C98"/>
    <w:rsid w:val="00856E0F"/>
    <w:rsid w:val="00861CE3"/>
    <w:rsid w:val="008651EF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394D"/>
    <w:rsid w:val="00904E25"/>
    <w:rsid w:val="00934E83"/>
    <w:rsid w:val="00935C5C"/>
    <w:rsid w:val="00947FBA"/>
    <w:rsid w:val="00976B38"/>
    <w:rsid w:val="00983D26"/>
    <w:rsid w:val="009B3A96"/>
    <w:rsid w:val="009B7149"/>
    <w:rsid w:val="009D6BAF"/>
    <w:rsid w:val="009E5F05"/>
    <w:rsid w:val="00A33C3C"/>
    <w:rsid w:val="00A40F2F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475CC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A781C"/>
    <w:rsid w:val="00CD7079"/>
    <w:rsid w:val="00CE5009"/>
    <w:rsid w:val="00D021E6"/>
    <w:rsid w:val="00D361C6"/>
    <w:rsid w:val="00D5078B"/>
    <w:rsid w:val="00D6544A"/>
    <w:rsid w:val="00D67957"/>
    <w:rsid w:val="00D71519"/>
    <w:rsid w:val="00DF274D"/>
    <w:rsid w:val="00DF317B"/>
    <w:rsid w:val="00DF35C4"/>
    <w:rsid w:val="00E0385F"/>
    <w:rsid w:val="00E27AAD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75199"/>
    <w:rsid w:val="00E80E75"/>
    <w:rsid w:val="00EB3E8C"/>
    <w:rsid w:val="00EF38D5"/>
    <w:rsid w:val="00F074AA"/>
    <w:rsid w:val="00F40C70"/>
    <w:rsid w:val="00F5144D"/>
    <w:rsid w:val="00F6060B"/>
    <w:rsid w:val="00F944B8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3443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2024-10-23T05:41:00Z</cp:lastPrinted>
  <dcterms:created xsi:type="dcterms:W3CDTF">2025-06-18T07:08:00Z</dcterms:created>
  <dcterms:modified xsi:type="dcterms:W3CDTF">2025-06-18T07:08:00Z</dcterms:modified>
</cp:coreProperties>
</file>